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9AF35E1" w:rsidR="005C07AD" w:rsidRDefault="003615A1">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ДИФФЕРЕНЦИРОВАННЫЙ ПОДХОД: КАК АДАПТИРОВАТЬ УЧЕБНЫЕ МАТЕРИАЛЫ ПОД УЧЕНИКОВ С РАЗНЫМ УРОВНЕМ ЯЗЫКОВОЙ ПОДГОТОВКИ</w:t>
      </w:r>
    </w:p>
    <w:p w14:paraId="00000002" w14:textId="77777777" w:rsidR="005C07AD" w:rsidRDefault="005C07AD">
      <w:pPr>
        <w:spacing w:after="0" w:line="360" w:lineRule="auto"/>
        <w:jc w:val="center"/>
        <w:rPr>
          <w:rFonts w:ascii="Times New Roman" w:eastAsia="Times New Roman" w:hAnsi="Times New Roman" w:cs="Times New Roman"/>
          <w:b/>
          <w:bCs/>
          <w:sz w:val="28"/>
          <w:szCs w:val="28"/>
        </w:rPr>
      </w:pPr>
    </w:p>
    <w:p w14:paraId="00000003" w14:textId="715668DC" w:rsidR="005C07AD" w:rsidRPr="003615A1" w:rsidRDefault="00000000">
      <w:pPr>
        <w:spacing w:after="0" w:line="360" w:lineRule="auto"/>
        <w:jc w:val="righ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Галицына Полина Викторовна, учитель</w:t>
      </w:r>
    </w:p>
    <w:p w14:paraId="00000004" w14:textId="77777777" w:rsidR="005C07AD" w:rsidRDefault="00000000">
      <w:pPr>
        <w:pBdr>
          <w:top w:val="nil"/>
          <w:left w:val="nil"/>
          <w:bottom w:val="nil"/>
          <w:right w:val="nil"/>
          <w:between w:val="nil"/>
        </w:pBdr>
        <w:spacing w:after="0" w:line="360" w:lineRule="auto"/>
        <w:ind w:firstLine="708"/>
        <w:jc w:val="right"/>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Муниципальное автономное образовательное учреждение средняя общеобразовательная школа № 31 г. Южно-Сахалинска</w:t>
      </w:r>
    </w:p>
    <w:p w14:paraId="00000005" w14:textId="77777777" w:rsidR="005C07AD" w:rsidRDefault="005C07AD">
      <w:pPr>
        <w:pBdr>
          <w:top w:val="nil"/>
          <w:left w:val="nil"/>
          <w:bottom w:val="nil"/>
          <w:right w:val="nil"/>
          <w:between w:val="nil"/>
        </w:pBdr>
        <w:spacing w:after="0" w:line="360" w:lineRule="auto"/>
        <w:ind w:firstLine="708"/>
        <w:jc w:val="right"/>
        <w:rPr>
          <w:rFonts w:ascii="Times New Roman" w:eastAsia="Times New Roman" w:hAnsi="Times New Roman" w:cs="Times New Roman"/>
          <w:color w:val="000000"/>
          <w:sz w:val="28"/>
          <w:szCs w:val="28"/>
        </w:rPr>
      </w:pPr>
    </w:p>
    <w:p w14:paraId="00000006" w14:textId="77777777" w:rsidR="005C07AD" w:rsidRDefault="00000000">
      <w:pPr>
        <w:pBdr>
          <w:top w:val="nil"/>
          <w:left w:val="nil"/>
          <w:bottom w:val="nil"/>
          <w:right w:val="nil"/>
          <w:between w:val="nil"/>
        </w:pBdr>
        <w:spacing w:after="0" w:line="360" w:lineRule="auto"/>
        <w:ind w:firstLine="708"/>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color w:val="000000"/>
          <w:sz w:val="28"/>
          <w:szCs w:val="28"/>
        </w:rPr>
        <w:t>Аннотация.</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iCs/>
          <w:sz w:val="28"/>
          <w:szCs w:val="28"/>
        </w:rPr>
        <w:t>Статья раскрывает важность дифференцированного подхода в языковом обучении, акцентируя внимание на индивидуализации задач для учеников с разными языковыми уровнями. Описываются методы оценки и адаптации учебных материалов, позволяющие учителю эффективно организовать учебный процесс. Приведены практические примеры, подтверждающие значимость дифференциации для повышения мотивации и успешности каждого учащегося.</w:t>
      </w:r>
    </w:p>
    <w:p w14:paraId="00000007" w14:textId="77777777" w:rsidR="005C07AD" w:rsidRDefault="00000000">
      <w:pPr>
        <w:pBdr>
          <w:top w:val="nil"/>
          <w:left w:val="nil"/>
          <w:bottom w:val="nil"/>
          <w:right w:val="nil"/>
          <w:between w:val="nil"/>
        </w:pBdr>
        <w:spacing w:after="0" w:line="360" w:lineRule="auto"/>
        <w:ind w:firstLine="708"/>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color w:val="000000"/>
          <w:sz w:val="28"/>
          <w:szCs w:val="28"/>
        </w:rPr>
        <w:t>Ключевые слова:</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iCs/>
          <w:sz w:val="28"/>
          <w:szCs w:val="28"/>
        </w:rPr>
        <w:t>дифференцированный подход в обучении, индивидуализация обучения, оценка языкового уровня, адаптация учебных материалов, мотивация учеников, технологии в языковом обучении</w:t>
      </w:r>
    </w:p>
    <w:p w14:paraId="00000008" w14:textId="77777777" w:rsidR="005C07AD" w:rsidRDefault="005C07AD">
      <w:pPr>
        <w:pBdr>
          <w:top w:val="nil"/>
          <w:left w:val="nil"/>
          <w:bottom w:val="nil"/>
          <w:right w:val="nil"/>
          <w:between w:val="nil"/>
        </w:pBdr>
        <w:spacing w:after="0" w:line="360" w:lineRule="auto"/>
        <w:ind w:firstLine="708"/>
        <w:jc w:val="both"/>
        <w:rPr>
          <w:rFonts w:ascii="Times New Roman" w:eastAsia="Times New Roman" w:hAnsi="Times New Roman" w:cs="Times New Roman"/>
          <w:i/>
          <w:iCs/>
          <w:color w:val="000000"/>
          <w:sz w:val="28"/>
          <w:szCs w:val="28"/>
        </w:rPr>
      </w:pPr>
    </w:p>
    <w:p w14:paraId="00000009"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Дифференцированный подход в языковом обучении сегодня становится не просто удобным приемом, а необходимым условием качественной работы в классе, где у учеников заметно различаются стартовые возможности, темп освоения материала, словарный запас, уровень понимания устной и письменной речи. В такой ситуации единый для всех набор заданий часто приводит к тому, что сильные ученики быстро выполняют работу без интеллектуального напряжения, а более слабые не успевают включиться в деятельность и теряют уверенность. Дифференциация позволяет сохранить общий учебный маршрут, но при этом предложить каждому посильную, но развивающую задачу. Особенно важен этот подход в языковом обучении, поскольку язык осваивается не линейно: у одного ученика лучше развита </w:t>
      </w:r>
      <w:r>
        <w:rPr>
          <w:rFonts w:ascii="Times New Roman" w:eastAsia="Times New Roman" w:hAnsi="Times New Roman" w:cs="Times New Roman"/>
          <w:sz w:val="28"/>
          <w:szCs w:val="28"/>
        </w:rPr>
        <w:lastRenderedPageBreak/>
        <w:t>рецепция, у другого — говорение, кто-то уверенно работает с текстом, но испытывает трудности в письме. Именно поэтому учителю важно не только знать программу, но и видеть реальные учебные возможности каждого ребенка.</w:t>
      </w:r>
    </w:p>
    <w:p w14:paraId="0000000A"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Практическая ценность дифференцированного подхода связана и с требованиями современного образования, ориентированного на индивидуализацию, достижение планируемых результатов и создание условий для освоения образовательной программы всеми обучающимися. В соответствии с действующими нормами в сфере образования педагог должен учитывать особенности освоения содержания, применять адекватные формы, методы и средства обучения, а также обеспечивать доступность учебного материала. В языковом классе это означает необходимость заранее продумывать, какие опоры получат менее подготовленные ученики, каким образом будет усложняться задание для более сильных, как организовать темп урока, чтобы ни один ребенок не оказался вне учебного процесса. Дифференциация не делит класс на «сильных» и «слабых», а помогает каждому двигаться вперед в своей зоне ближайшего развития. Завершая разговор о значении подхода, важно подчеркнуть: без точной диагностики он превращается в случайный набор облегчений или усложнений, поэтому следующий шаг всегда связан с оценкой языкового уровня.</w:t>
      </w:r>
    </w:p>
    <w:p w14:paraId="0000000B"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Оценка стартового и текущего уровня должна быть регулярной и многоканальной. На практике полезно сочетать входную диагностику, наблюдение на уроке, анализ письменных работ, короткие устные ответы и мини-задания на понимание текста или аудиосообщения. Для языкового обучения особенно информативны задания, где ученик не только выбирает правильный вариант, но и демонстрирует собственную продукцию: пересказывает короткий текст, строит ответ по опоре, завершает фразу, задает вопросы. Важно оценивать не только общий результат, но и отдельные компоненты речевой компетенции: понимание, говорение, чтение, письмо, владение лексикой и грамматикой. Текущий уровень удобно отслеживать </w:t>
      </w:r>
      <w:r>
        <w:rPr>
          <w:rFonts w:ascii="Times New Roman" w:eastAsia="Times New Roman" w:hAnsi="Times New Roman" w:cs="Times New Roman"/>
          <w:sz w:val="28"/>
          <w:szCs w:val="28"/>
        </w:rPr>
        <w:lastRenderedPageBreak/>
        <w:t>через небольшие диагностические срезы, листы наблюдений, карты продвижения, самооценку ученика по понятным критериям. Такой подход дает учителю точное представление о том, где именно нужна поддержка: в понимании инструкции, в подборе слов, в построении фразы, в работе с текстом или в письменной связности.</w:t>
      </w:r>
    </w:p>
    <w:p w14:paraId="0000000C"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выборе и адаптации учебных материалов важно исходить не из упрощения любой ценой, а из доступности без потери смысла. Хорошо работает принцип «одна цель — разные пути к ней». Текст может оставаться содержательно единым, но сопровождаться разным количеством опор: для одних учеников это словарь и вопросы по содержанию, для других — задания на анализ, сравнение, аргументацию. Объем материала должен соответствовать возрасту и уровню: избыточная длина утомляет, а слишком короткий текст не дает возможности увидеть языковую структуру. В упражнениях полезно варьировать сложность не только по количеству, но и по типу действия: распознавание, выбор, преобразование, самостоятельное высказывание. Если задание предполагает письмо, часть учеников может использовать шаблон, план или начальные фразы, а более подготовленные — строить ответ без опор. При этом адаптация не должна сводиться к механическому сокращению требований: ученик должен оставаться в предметной деятельности, а не просто выполнять «облегченную» версию без развития.</w:t>
      </w:r>
    </w:p>
    <w:p w14:paraId="0000000D"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важно продумать стратегии дифференциации содержания, процесса и продукта. Дифференциация содержания означает, что ученики получают материалы разной степени сложности или с разной глубиной проработки одного и того же явления. Дифференциация процесса связана с организацией работы: кому-то нужны пошаговые инструкции, кому-то — самостоятельный поиск, кому-то — работа в паре, кому-то — краткий индивидуальный маршрут. Дифференциация продукта предполагает, что итог выполнения может быть различным: один ученик отвечает устно по плану, другой создает краткую запись, третий делает расширенное высказывание или </w:t>
      </w:r>
      <w:r>
        <w:rPr>
          <w:rFonts w:ascii="Times New Roman" w:eastAsia="Times New Roman" w:hAnsi="Times New Roman" w:cs="Times New Roman"/>
          <w:sz w:val="28"/>
          <w:szCs w:val="28"/>
        </w:rPr>
        <w:lastRenderedPageBreak/>
        <w:t>мини-проект. На уроках иностранного языка особенно полезны станции, парная работа с распределением ролей, задания с выбором уровня, взаимопроверка по образцу, опорные схемы, таблицы, речевые клише. Такой способ организации позволяет удержать общий смысл темы, но снизить барьер для включения менее подготовленных учеников и одновременно сохранить учебный вызов для сильных.</w:t>
      </w:r>
    </w:p>
    <w:p w14:paraId="0000000E"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Практический пример успешной педагогической практики можно увидеть на уроках иностранного языка в пятом классе, когда учитель использовал многоуровневые рабочие листы. К теме «Покупки» были подготовлены три варианта одного упражнения: базовый включал соотнесение картинки и слова, вставку слов в готовые предложения и выбор ответа из нескольких вариантов; средний предполагал составление диалога по опорам; продвинутый требовал дополнить диалог новыми репликами и кратко объяснить выбор речевой формы. Учитель заранее проговорил критерии, предложил ученикам сначала попробовать самооценку по чек-листу, а затем выбрать или получить рекомендованный вариант. Сильные ученики не теряли интерес, потому что получали задачу с языковым поиском, а менее подготовленные не испытывали постоянного неуспеха, поскольку работали с посильной опорой. В результате повысилась активность на уроке, а качество ответов улучшилось именно за счет того, что каждый ученик оказался в зоне ближайшего развития. Этот опыт показывает, что грамотно выстроенная дифференциация начинается с выбора формы работы, а дальше требует опоры на технологии и дополнительные ресурсы.</w:t>
      </w:r>
    </w:p>
    <w:p w14:paraId="0000000F"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Цифровые и мультимедийные средства заметно усиливают дифференцированный подход, если используются не как украшение урока, а как инструмент персонализации. Аудиозаписи разного темпа, видео с субтитрами, интерактивные упражнения с мгновенной проверкой, карточки с изображениями, электронные словари, онлайн-тренажеры помогают ученикам возвращаться к материалу в удобном темпе. Для более слабых учащихся полезны материалы с визуальной поддержкой, возможностью многократного </w:t>
      </w:r>
      <w:r>
        <w:rPr>
          <w:rFonts w:ascii="Times New Roman" w:eastAsia="Times New Roman" w:hAnsi="Times New Roman" w:cs="Times New Roman"/>
          <w:sz w:val="28"/>
          <w:szCs w:val="28"/>
        </w:rPr>
        <w:lastRenderedPageBreak/>
        <w:t>прослушивания и пошаговым выполнением. Для сильных — задания с открытым ответом, автоматические тренажеры на расширение словаря, проблемные вопросы, задания на поиск информации. Немаловажно и использование авторских материалов: учитель может создавать собственные карточки, краткие памятки, схемы построения высказывания, подборки фраз для речевого взаимодействия. Это особенно полезно, если в классе есть ученики с разным уровнем владения языком и разной скоростью чтения, а доступ к учебнику не полностью решает задачу.</w:t>
      </w:r>
    </w:p>
    <w:p w14:paraId="00000010"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Поддержка и мотивация учеников с разным языковым уровнем строятся на ощущении успеха и понятных критериях продвижения. Ребенку важно видеть не только конечную отметку, но и то, что именно у него получилось лучше, чем раньше. Для этого подходят короткая адресная обратная связь, поощрение за конкретное языковое действие, фиксация небольшого личного прогресса, право на повторную попытку. Особенно значима атмосфера, в которой ошибка рассматривается как часть обучения, а не как повод для сравнения между детьми. Учителю стоит избегать публичного деления на «успешных» и «отстающих», лучше предлагать разные маршруты выполнения и отмечать индивидуальный рост. Хорошо работает включение учеников в пары и малые группы, где можно распределить роли: один читает, другой фиксирует ключевые слова, третий формулирует итог. Для учащихся с низким уровнем владения языком полезны речевые клише, предсказуемая структура задания, заранее известный алгоритм ответа. Все это снижает тревожность и позволяет сосредоточиться на содержании, а не на страхе ошибки.</w:t>
      </w:r>
    </w:p>
    <w:p w14:paraId="00000011"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Практический пример решения проблемной ситуации особенно показателен в шестом классе, когда в середине четверти в класс пришел ученик с очень низким уровнем владения языком. Сначала учитель провел дополнительную диагностику: проверил понимание инструкции, базовый словарь, умение читать короткий текст и отвечать на простые вопросы. Затем был составлен индивидуальный план: часть заданий ученик выполнял по </w:t>
      </w:r>
      <w:r>
        <w:rPr>
          <w:rFonts w:ascii="Times New Roman" w:eastAsia="Times New Roman" w:hAnsi="Times New Roman" w:cs="Times New Roman"/>
          <w:sz w:val="28"/>
          <w:szCs w:val="28"/>
        </w:rPr>
        <w:lastRenderedPageBreak/>
        <w:t>адаптированным карточкам с опорами, часть — вместе с классом, но в упрощенном формате. На уроках его включали в работу в паре с более опытным учеником, а для закрепления использовали визуальные подсказки, таблицы, подписи к картинкам и образцы ответов. После каждого занятия учитель давал короткую обратную связь и корректировал объем задания: где-то убирал лишнюю нагрузку, где-то добавлял одно посильное действие. Через несколько недель ученик стал увереннее включаться в обсуждение, стал понимать ключевые инструкции и перестал выпадать из общего темпа класса. Этот случай показывает, что даже сложная ситуация решается не за счет снижения требований ко всему классу, а через точную настройку поддержки.</w:t>
      </w:r>
    </w:p>
    <w:p w14:paraId="00000012"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эффективности адаптации учебных материалов должна быть системной. Недостаточно ориентироваться только на отметки: важно смотреть, как изменились активность учеников, качество выполнения заданий, устойчивость внимания, количество самостоятельных ответов, способность переносить изученные модели в новые ситуации. Полезно сопоставлять результаты входной и текущей диагностики, анализировать, какие опоры действительно помогли, а какие оказались лишними или, наоборот, недостаточными. Хорошим инструментом служат листы наблюдений, краткие самоотчеты учеников, анализ типичных ошибок, сравнение работ до и после изменения материала. Если после адаптации растет число включенных в работу учеников, снижается количество отказов от ответа, а ошибки становятся более осознанными и исправляемыми, значит, подход выбран верно. Если же сильные ученики не получают вызова, а слабые по-прежнему не справляются даже с опорами, материалы нужно пересматривать. На практике именно регулярная корректировка делает дифференциацию живым инструментом, а не разовой методической акцией.</w:t>
      </w:r>
    </w:p>
    <w:p w14:paraId="00000013" w14:textId="77777777" w:rsidR="005C07AD" w:rsidRDefault="00000000">
      <w:pPr>
        <w:pBdr>
          <w:top w:val="nil"/>
          <w:left w:val="nil"/>
          <w:bottom w:val="nil"/>
          <w:right w:val="nil"/>
          <w:between w:val="nil"/>
        </w:pBdr>
        <w:spacing w:after="0" w:line="360" w:lineRule="auto"/>
        <w:ind w:firstLine="851"/>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В примере с многоуровневыми рабочими листами учитель дополнительно оценивал эффект через наблюдение за включенностью учеников и мини-рефлексию в конце урока. Ученики отмечали, какое задание оказалось для них посильным, где понадобилась помощь, что получилось </w:t>
      </w:r>
      <w:r>
        <w:rPr>
          <w:rFonts w:ascii="Times New Roman" w:eastAsia="Times New Roman" w:hAnsi="Times New Roman" w:cs="Times New Roman"/>
          <w:sz w:val="28"/>
          <w:szCs w:val="28"/>
        </w:rPr>
        <w:lastRenderedPageBreak/>
        <w:t>сделать самостоятельно. Эти данные позволили корректировать уровни сложности и точнее подбирать опоры к следующим темам. Подводя итог, можно сказать, что дифференцированный подход в языковом обучении работает тогда, когда учитель точно знает уровень каждого ученика, осознанно выбирает материалы, гибко организует процесс, использует технологические и методические ресурсы, поддерживает мотивацию и регулярно проверяет результативность принятых решений. Именно в этом случае разноуровневый класс перестает быть проблемой и становится пространством реального продвижения для каждого ребенка.</w:t>
      </w:r>
    </w:p>
    <w:p w14:paraId="00000014" w14:textId="77777777" w:rsidR="005C07AD" w:rsidRDefault="005C07AD">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rPr>
      </w:pPr>
    </w:p>
    <w:p w14:paraId="00000015" w14:textId="77777777" w:rsidR="005C07AD" w:rsidRDefault="00000000">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Список литературы</w:t>
      </w:r>
    </w:p>
    <w:p w14:paraId="00000019" w14:textId="55B493EE" w:rsidR="005C07AD" w:rsidRDefault="00000000">
      <w:pPr>
        <w:pBdr>
          <w:top w:val="nil"/>
          <w:left w:val="nil"/>
          <w:bottom w:val="nil"/>
          <w:right w:val="nil"/>
          <w:between w:val="nil"/>
        </w:pBd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1. Антонова М. Л. Дифференцированный подход в обучении английскому языку // Образование. Карьера. Общество. </w:t>
      </w:r>
      <w:r w:rsidR="003615A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2017. </w:t>
      </w:r>
      <w:r w:rsidR="003615A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№3 (54).</w:t>
      </w:r>
    </w:p>
    <w:p w14:paraId="6DAD44AA" w14:textId="63CAD56A" w:rsidR="0095490F" w:rsidRDefault="002168C2" w:rsidP="0095490F">
      <w:pPr>
        <w:pBdr>
          <w:top w:val="nil"/>
          <w:left w:val="nil"/>
          <w:bottom w:val="nil"/>
          <w:right w:val="nil"/>
          <w:between w:val="nil"/>
        </w:pBd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2. </w:t>
      </w:r>
      <w:r w:rsidR="0095490F" w:rsidRPr="0095490F">
        <w:rPr>
          <w:rFonts w:ascii="Times New Roman" w:eastAsia="Times New Roman" w:hAnsi="Times New Roman" w:cs="Times New Roman"/>
          <w:sz w:val="28"/>
          <w:szCs w:val="28"/>
          <w:lang w:val="ru-RU"/>
        </w:rPr>
        <w:t xml:space="preserve">Гальскова, </w:t>
      </w:r>
      <w:r w:rsidR="0095490F">
        <w:rPr>
          <w:rFonts w:ascii="Times New Roman" w:eastAsia="Times New Roman" w:hAnsi="Times New Roman" w:cs="Times New Roman"/>
          <w:sz w:val="28"/>
          <w:szCs w:val="28"/>
          <w:lang w:val="ru-RU"/>
        </w:rPr>
        <w:t>Н. Д</w:t>
      </w:r>
      <w:r w:rsidR="0095490F" w:rsidRPr="0095490F">
        <w:rPr>
          <w:rFonts w:ascii="Times New Roman" w:eastAsia="Times New Roman" w:hAnsi="Times New Roman" w:cs="Times New Roman"/>
          <w:sz w:val="28"/>
          <w:szCs w:val="28"/>
          <w:lang w:val="ru-RU"/>
        </w:rPr>
        <w:t>.</w:t>
      </w:r>
      <w:r w:rsidR="0095490F">
        <w:rPr>
          <w:rFonts w:ascii="Times New Roman" w:eastAsia="Times New Roman" w:hAnsi="Times New Roman" w:cs="Times New Roman"/>
          <w:sz w:val="28"/>
          <w:szCs w:val="28"/>
          <w:lang w:val="ru-RU"/>
        </w:rPr>
        <w:t xml:space="preserve"> </w:t>
      </w:r>
      <w:r w:rsidR="0095490F" w:rsidRPr="0095490F">
        <w:rPr>
          <w:rFonts w:ascii="Times New Roman" w:eastAsia="Times New Roman" w:hAnsi="Times New Roman" w:cs="Times New Roman"/>
          <w:sz w:val="28"/>
          <w:szCs w:val="28"/>
          <w:lang w:val="ru-RU"/>
        </w:rPr>
        <w:t>Современная методика обучения иностранным языкам : Пособие для учителя / Н.Д. Гальская. - [2. изд., перераб. и доп.]. - Москва : АРКТИ, 2003. - 189 c.</w:t>
      </w:r>
    </w:p>
    <w:p w14:paraId="44A0D180" w14:textId="16051509" w:rsidR="002168C2" w:rsidRDefault="002168C2" w:rsidP="0095490F">
      <w:pPr>
        <w:pBdr>
          <w:top w:val="nil"/>
          <w:left w:val="nil"/>
          <w:bottom w:val="nil"/>
          <w:right w:val="nil"/>
          <w:between w:val="nil"/>
        </w:pBd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3. </w:t>
      </w:r>
      <w:r w:rsidRPr="002168C2">
        <w:rPr>
          <w:rFonts w:ascii="Times New Roman" w:eastAsia="Times New Roman" w:hAnsi="Times New Roman" w:cs="Times New Roman"/>
          <w:sz w:val="28"/>
          <w:szCs w:val="28"/>
          <w:lang w:val="ru-RU"/>
        </w:rPr>
        <w:t>Татарницева,</w:t>
      </w:r>
      <w:r>
        <w:rPr>
          <w:rFonts w:ascii="Times New Roman" w:eastAsia="Times New Roman" w:hAnsi="Times New Roman" w:cs="Times New Roman"/>
          <w:sz w:val="28"/>
          <w:szCs w:val="28"/>
          <w:lang w:val="ru-RU"/>
        </w:rPr>
        <w:t xml:space="preserve"> </w:t>
      </w:r>
      <w:r w:rsidRPr="002168C2">
        <w:rPr>
          <w:rFonts w:ascii="Times New Roman" w:eastAsia="Times New Roman" w:hAnsi="Times New Roman" w:cs="Times New Roman"/>
          <w:sz w:val="28"/>
          <w:szCs w:val="28"/>
          <w:lang w:val="ru-RU"/>
        </w:rPr>
        <w:t>С.Н.</w:t>
      </w:r>
      <w:r>
        <w:rPr>
          <w:rFonts w:ascii="Times New Roman" w:eastAsia="Times New Roman" w:hAnsi="Times New Roman" w:cs="Times New Roman"/>
          <w:sz w:val="28"/>
          <w:szCs w:val="28"/>
          <w:lang w:val="ru-RU"/>
        </w:rPr>
        <w:t xml:space="preserve"> </w:t>
      </w:r>
      <w:r w:rsidRPr="002168C2">
        <w:rPr>
          <w:rFonts w:ascii="Times New Roman" w:eastAsia="Times New Roman" w:hAnsi="Times New Roman" w:cs="Times New Roman"/>
          <w:sz w:val="28"/>
          <w:szCs w:val="28"/>
          <w:lang w:val="ru-RU"/>
        </w:rPr>
        <w:t>Методика</w:t>
      </w:r>
      <w:r>
        <w:rPr>
          <w:rFonts w:ascii="Times New Roman" w:eastAsia="Times New Roman" w:hAnsi="Times New Roman" w:cs="Times New Roman"/>
          <w:sz w:val="28"/>
          <w:szCs w:val="28"/>
          <w:lang w:val="ru-RU"/>
        </w:rPr>
        <w:t xml:space="preserve"> </w:t>
      </w:r>
      <w:r w:rsidRPr="002168C2">
        <w:rPr>
          <w:rFonts w:ascii="Times New Roman" w:eastAsia="Times New Roman" w:hAnsi="Times New Roman" w:cs="Times New Roman"/>
          <w:sz w:val="28"/>
          <w:szCs w:val="28"/>
          <w:lang w:val="ru-RU"/>
        </w:rPr>
        <w:t>обучения</w:t>
      </w:r>
      <w:r>
        <w:rPr>
          <w:rFonts w:ascii="Times New Roman" w:eastAsia="Times New Roman" w:hAnsi="Times New Roman" w:cs="Times New Roman"/>
          <w:sz w:val="28"/>
          <w:szCs w:val="28"/>
          <w:lang w:val="ru-RU"/>
        </w:rPr>
        <w:t xml:space="preserve"> </w:t>
      </w:r>
      <w:r w:rsidRPr="002168C2">
        <w:rPr>
          <w:rFonts w:ascii="Times New Roman" w:eastAsia="Times New Roman" w:hAnsi="Times New Roman" w:cs="Times New Roman"/>
          <w:sz w:val="28"/>
          <w:szCs w:val="28"/>
          <w:lang w:val="ru-RU"/>
        </w:rPr>
        <w:t>иностранным</w:t>
      </w:r>
      <w:r>
        <w:rPr>
          <w:rFonts w:ascii="Times New Roman" w:eastAsia="Times New Roman" w:hAnsi="Times New Roman" w:cs="Times New Roman"/>
          <w:sz w:val="28"/>
          <w:szCs w:val="28"/>
          <w:lang w:val="ru-RU"/>
        </w:rPr>
        <w:t xml:space="preserve"> </w:t>
      </w:r>
      <w:r w:rsidRPr="002168C2">
        <w:rPr>
          <w:rFonts w:ascii="Times New Roman" w:eastAsia="Times New Roman" w:hAnsi="Times New Roman" w:cs="Times New Roman"/>
          <w:sz w:val="28"/>
          <w:szCs w:val="28"/>
          <w:lang w:val="ru-RU"/>
        </w:rPr>
        <w:t>языкам:</w:t>
      </w:r>
      <w:r>
        <w:rPr>
          <w:rFonts w:ascii="Times New Roman" w:eastAsia="Times New Roman" w:hAnsi="Times New Roman" w:cs="Times New Roman"/>
          <w:sz w:val="28"/>
          <w:szCs w:val="28"/>
          <w:lang w:val="ru-RU"/>
        </w:rPr>
        <w:t xml:space="preserve"> </w:t>
      </w:r>
      <w:r w:rsidRPr="002168C2">
        <w:rPr>
          <w:rFonts w:ascii="Times New Roman" w:eastAsia="Times New Roman" w:hAnsi="Times New Roman" w:cs="Times New Roman"/>
          <w:sz w:val="28"/>
          <w:szCs w:val="28"/>
          <w:lang w:val="ru-RU"/>
        </w:rPr>
        <w:t>теория и практика : электронное учебное пособие / С.Н. Татарницева. – Тольятти : Изд</w:t>
      </w:r>
      <w:r>
        <w:rPr>
          <w:rFonts w:ascii="Times New Roman" w:eastAsia="Times New Roman" w:hAnsi="Times New Roman" w:cs="Times New Roman"/>
          <w:sz w:val="28"/>
          <w:szCs w:val="28"/>
          <w:lang w:val="ru-RU"/>
        </w:rPr>
        <w:t>-</w:t>
      </w:r>
      <w:r w:rsidRPr="002168C2">
        <w:rPr>
          <w:rFonts w:ascii="Times New Roman" w:eastAsia="Times New Roman" w:hAnsi="Times New Roman" w:cs="Times New Roman"/>
          <w:sz w:val="28"/>
          <w:szCs w:val="28"/>
          <w:lang w:val="ru-RU"/>
        </w:rPr>
        <w:t xml:space="preserve">во ТГУ, 2021 – </w:t>
      </w:r>
      <w:r>
        <w:rPr>
          <w:rFonts w:ascii="Times New Roman" w:eastAsia="Times New Roman" w:hAnsi="Times New Roman" w:cs="Times New Roman"/>
          <w:sz w:val="28"/>
          <w:szCs w:val="28"/>
          <w:lang w:val="ru-RU"/>
        </w:rPr>
        <w:t>329 с.</w:t>
      </w:r>
    </w:p>
    <w:p w14:paraId="0190BC62" w14:textId="46FFEE11" w:rsidR="0095490F" w:rsidRPr="003615A1" w:rsidRDefault="002168C2" w:rsidP="0095490F">
      <w:pPr>
        <w:pBdr>
          <w:top w:val="nil"/>
          <w:left w:val="nil"/>
          <w:bottom w:val="nil"/>
          <w:right w:val="nil"/>
          <w:between w:val="nil"/>
        </w:pBd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4. </w:t>
      </w:r>
      <w:r w:rsidR="0095490F" w:rsidRPr="0095490F">
        <w:rPr>
          <w:rFonts w:ascii="Times New Roman" w:eastAsia="Times New Roman" w:hAnsi="Times New Roman" w:cs="Times New Roman"/>
          <w:sz w:val="28"/>
          <w:szCs w:val="28"/>
          <w:lang w:val="ru-RU"/>
        </w:rPr>
        <w:t>Теория и практика обучения иностранным языкам: традиции и инновации: Сборник статей международной научно-практической конференции памяти академика РАО Инессы Львовны Бим.– М.: ТЕЗАУРУС,</w:t>
      </w:r>
      <w:r w:rsidR="0095490F">
        <w:rPr>
          <w:rFonts w:ascii="Times New Roman" w:eastAsia="Times New Roman" w:hAnsi="Times New Roman" w:cs="Times New Roman"/>
          <w:sz w:val="28"/>
          <w:szCs w:val="28"/>
          <w:lang w:val="ru-RU"/>
        </w:rPr>
        <w:t xml:space="preserve"> </w:t>
      </w:r>
      <w:r w:rsidR="0095490F" w:rsidRPr="0095490F">
        <w:rPr>
          <w:rFonts w:ascii="Times New Roman" w:eastAsia="Times New Roman" w:hAnsi="Times New Roman" w:cs="Times New Roman"/>
          <w:sz w:val="28"/>
          <w:szCs w:val="28"/>
          <w:lang w:val="ru-RU"/>
        </w:rPr>
        <w:t xml:space="preserve">2013. – </w:t>
      </w:r>
      <w:r w:rsidR="0095490F">
        <w:rPr>
          <w:rFonts w:ascii="Times New Roman" w:eastAsia="Times New Roman" w:hAnsi="Times New Roman" w:cs="Times New Roman"/>
          <w:sz w:val="28"/>
          <w:szCs w:val="28"/>
          <w:lang w:val="ru-RU"/>
        </w:rPr>
        <w:t xml:space="preserve">331 </w:t>
      </w:r>
      <w:r w:rsidR="0095490F" w:rsidRPr="0095490F">
        <w:rPr>
          <w:rFonts w:ascii="Times New Roman" w:eastAsia="Times New Roman" w:hAnsi="Times New Roman" w:cs="Times New Roman"/>
          <w:sz w:val="28"/>
          <w:szCs w:val="28"/>
          <w:lang w:val="ru-RU"/>
        </w:rPr>
        <w:t>с</w:t>
      </w:r>
      <w:r w:rsidR="0095490F">
        <w:rPr>
          <w:rFonts w:ascii="Times New Roman" w:eastAsia="Times New Roman" w:hAnsi="Times New Roman" w:cs="Times New Roman"/>
          <w:sz w:val="28"/>
          <w:szCs w:val="28"/>
          <w:lang w:val="ru-RU"/>
        </w:rPr>
        <w:t>.</w:t>
      </w:r>
    </w:p>
    <w:sectPr w:rsidR="0095490F" w:rsidRPr="003615A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embedRegular r:id="rId1" w:fontKey="{0E2E42D1-0392-4BB8-97A0-A76ED5AD1D00}"/>
    <w:embedBold r:id="rId2" w:fontKey="{8AA3634A-7E3D-4A83-AAF8-5DB3D1A7FFD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BF08E1DB-5C40-4347-85F1-5DA95CE4AACB}"/>
  </w:font>
  <w:font w:name="Cambria">
    <w:panose1 w:val="02040503050406030204"/>
    <w:charset w:val="CC"/>
    <w:family w:val="roman"/>
    <w:pitch w:val="variable"/>
    <w:sig w:usb0="E00006FF" w:usb1="420024FF" w:usb2="02000000" w:usb3="00000000" w:csb0="0000019F" w:csb1="00000000"/>
    <w:embedRegular r:id="rId4" w:fontKey="{CF8F918F-E568-407C-B865-2079420094B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7AD"/>
    <w:rsid w:val="002168C2"/>
    <w:rsid w:val="003615A1"/>
    <w:rsid w:val="005C07AD"/>
    <w:rsid w:val="006D3D3E"/>
    <w:rsid w:val="0095490F"/>
    <w:rsid w:val="00D87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40F3"/>
  <w15:docId w15:val="{2FD2673F-E046-4145-B6E7-A7321E02C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1914</Words>
  <Characters>10916</Characters>
  <Application>Microsoft Office Word</Application>
  <DocSecurity>0</DocSecurity>
  <Lines>90</Lines>
  <Paragraphs>25</Paragraphs>
  <ScaleCrop>false</ScaleCrop>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Екатерина Долинина</cp:lastModifiedBy>
  <cp:revision>5</cp:revision>
  <dcterms:created xsi:type="dcterms:W3CDTF">2026-04-15T10:00:00Z</dcterms:created>
  <dcterms:modified xsi:type="dcterms:W3CDTF">2026-04-15T10:08:00Z</dcterms:modified>
</cp:coreProperties>
</file>